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414E7">
      <w:pPr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自动化</w:t>
      </w:r>
      <w:r>
        <w:rPr>
          <w:rFonts w:hint="eastAsia" w:ascii="宋体"/>
          <w:b/>
          <w:sz w:val="30"/>
          <w:szCs w:val="30"/>
        </w:rPr>
        <w:t>专业毕业设计</w:t>
      </w:r>
      <w:r>
        <w:rPr>
          <w:rFonts w:ascii="宋体"/>
          <w:b/>
          <w:sz w:val="30"/>
          <w:szCs w:val="30"/>
        </w:rPr>
        <w:t>（</w:t>
      </w:r>
      <w:r>
        <w:rPr>
          <w:rFonts w:hint="eastAsia" w:ascii="宋体"/>
          <w:b/>
          <w:sz w:val="30"/>
          <w:szCs w:val="30"/>
        </w:rPr>
        <w:t>论文</w:t>
      </w:r>
      <w:r>
        <w:rPr>
          <w:rFonts w:ascii="宋体"/>
          <w:b/>
          <w:sz w:val="30"/>
          <w:szCs w:val="30"/>
        </w:rPr>
        <w:t>）教学大纲</w:t>
      </w:r>
    </w:p>
    <w:p w14:paraId="021CD664">
      <w:pPr>
        <w:spacing w:line="360" w:lineRule="auto"/>
        <w:jc w:val="lef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 xml:space="preserve">                                 </w:t>
      </w:r>
    </w:p>
    <w:p w14:paraId="5688D1AA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一、课程基本信息</w:t>
      </w:r>
    </w:p>
    <w:p w14:paraId="52CC071E">
      <w:pPr>
        <w:spacing w:line="360" w:lineRule="auto"/>
        <w:ind w:left="479" w:leftChars="22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 课程编号：（远程学院负责制定）</w:t>
      </w:r>
    </w:p>
    <w:p w14:paraId="702561F9">
      <w:pPr>
        <w:spacing w:line="360" w:lineRule="auto"/>
        <w:ind w:left="479" w:leftChars="22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2. 课程层次：专升本</w:t>
      </w:r>
    </w:p>
    <w:p w14:paraId="38E25CA8">
      <w:pPr>
        <w:spacing w:line="360" w:lineRule="auto"/>
        <w:ind w:left="479" w:leftChars="22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3. 课程性质：实践教学环节</w:t>
      </w:r>
    </w:p>
    <w:p w14:paraId="6833B2CD">
      <w:pPr>
        <w:spacing w:line="360" w:lineRule="auto"/>
        <w:ind w:left="479" w:leftChars="22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4. 学时/学分：3</w:t>
      </w:r>
      <w:r>
        <w:rPr>
          <w:sz w:val="24"/>
          <w:szCs w:val="24"/>
        </w:rPr>
        <w:t>00/15</w:t>
      </w:r>
      <w:r>
        <w:rPr>
          <w:rFonts w:hint="eastAsia"/>
          <w:sz w:val="24"/>
          <w:szCs w:val="24"/>
        </w:rPr>
        <w:cr/>
      </w:r>
      <w:r>
        <w:rPr>
          <w:rFonts w:hint="eastAsia"/>
          <w:sz w:val="24"/>
          <w:szCs w:val="24"/>
        </w:rPr>
        <w:t>5. 适用专业：自动化</w:t>
      </w:r>
    </w:p>
    <w:p w14:paraId="42D9431D">
      <w:pPr>
        <w:spacing w:line="360" w:lineRule="auto"/>
        <w:rPr>
          <w:rFonts w:ascii="宋体"/>
          <w:b/>
          <w:sz w:val="24"/>
          <w:szCs w:val="24"/>
        </w:rPr>
      </w:pPr>
    </w:p>
    <w:p w14:paraId="005BD893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二、毕业设计（论文）的教学目标及学生应达到的能力</w:t>
      </w:r>
    </w:p>
    <w:p w14:paraId="4B641A0E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自动化专业毕业设计（论文）是学生在教师的指导下，深化专业学习、拓宽工程视野、综合运用所学知识解决轨道交通信号与控制领域分析、设计、</w:t>
      </w:r>
      <w:r>
        <w:rPr>
          <w:rFonts w:ascii="宋体" w:hAnsi="宋体"/>
          <w:sz w:val="24"/>
          <w:szCs w:val="24"/>
        </w:rPr>
        <w:t>运维</w:t>
      </w:r>
      <w:r>
        <w:rPr>
          <w:rFonts w:hint="eastAsia" w:ascii="宋体" w:hAnsi="宋体"/>
          <w:sz w:val="24"/>
          <w:szCs w:val="24"/>
        </w:rPr>
        <w:t>等复杂工程问题的重要过程，也是对学生综合基础知识、专业基础知识、专业技能以及综合能力的检验，同时也应能够进一步引导学生掌握科学的世界观和方法论，提升思想品德和社会公德，培育家国情怀、社会责任感和职业责任感等非技术能力。毕业设计（论文）质量不仅是学生毕业和学位资格认定的重要依据，也是衡量专业教学质量的重要评价指标。</w:t>
      </w:r>
    </w:p>
    <w:p w14:paraId="15F0D0E8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课程的主要任务是通过开题报告、工程设计（或理论应用或仿真研究或试验研究）、技术文件编写、导师指导和交流、论文撰写、毕业答辩等环节，培养学生在轨道交通信号与控制专业领域内，依据相关法律、法规、专业规范、技术规程等，运用所学知识，利用现代工具，解决复杂工程问题的能力；具备评价工程实践对环境、社会及其可持续发展等方面的影响，并制定相应解决方案的能力。</w:t>
      </w:r>
    </w:p>
    <w:p w14:paraId="32FCA805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课程目标及学生应达到的能力要求具体如下：</w:t>
      </w:r>
    </w:p>
    <w:p w14:paraId="27726958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课程目标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：毕业论文进行过程中，学生应注重品德修养，增强</w:t>
      </w:r>
      <w:r>
        <w:rPr>
          <w:rFonts w:ascii="宋体" w:hAnsi="宋体"/>
          <w:sz w:val="24"/>
          <w:szCs w:val="24"/>
        </w:rPr>
        <w:t>家国情怀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社会责任感</w:t>
      </w:r>
      <w:r>
        <w:rPr>
          <w:rFonts w:hint="eastAsia" w:ascii="宋体" w:hAnsi="宋体"/>
          <w:sz w:val="24"/>
          <w:szCs w:val="24"/>
        </w:rPr>
        <w:t>和职业责任感以及伦理规范意识</w:t>
      </w:r>
      <w:r>
        <w:rPr>
          <w:rFonts w:ascii="宋体" w:hAnsi="宋体"/>
          <w:sz w:val="24"/>
          <w:szCs w:val="24"/>
        </w:rPr>
        <w:t>，能够践行社会主义核心价值观</w:t>
      </w:r>
      <w:r>
        <w:rPr>
          <w:rFonts w:hint="eastAsia" w:ascii="宋体" w:hAnsi="宋体"/>
          <w:sz w:val="24"/>
          <w:szCs w:val="24"/>
        </w:rPr>
        <w:t>。</w:t>
      </w:r>
    </w:p>
    <w:p w14:paraId="24F34FC5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课程目标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：学生应能够通过分析国内外文献，了解工程问题的研究背景、意义和动态，利用综合基础知识及专业基础知识，发现并分析问题，并提出针对性强、可操作的解决方案，完成文献综述和开题报告。</w:t>
      </w:r>
    </w:p>
    <w:p w14:paraId="6C6E4B9A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课程目标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、学生应能在教师指导下，考虑</w:t>
      </w:r>
      <w:r>
        <w:rPr>
          <w:rFonts w:ascii="宋体" w:hAnsi="宋体"/>
          <w:sz w:val="24"/>
          <w:szCs w:val="24"/>
        </w:rPr>
        <w:t>多因素（</w:t>
      </w:r>
      <w:r>
        <w:rPr>
          <w:rFonts w:hint="eastAsia" w:ascii="宋体" w:hAnsi="宋体"/>
          <w:sz w:val="24"/>
          <w:szCs w:val="24"/>
        </w:rPr>
        <w:t>如</w:t>
      </w:r>
      <w:r>
        <w:rPr>
          <w:rFonts w:ascii="宋体" w:hAnsi="宋体"/>
          <w:sz w:val="24"/>
          <w:szCs w:val="24"/>
        </w:rPr>
        <w:t>技术经济、</w:t>
      </w:r>
      <w:r>
        <w:rPr>
          <w:rFonts w:hint="eastAsia" w:ascii="宋体" w:hAnsi="宋体"/>
          <w:sz w:val="24"/>
          <w:szCs w:val="24"/>
        </w:rPr>
        <w:t>环境</w:t>
      </w:r>
      <w:r>
        <w:rPr>
          <w:rFonts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</w:rPr>
        <w:t>限制或冲突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条件</w:t>
      </w:r>
      <w:r>
        <w:rPr>
          <w:rFonts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使用现代工具（如文献检索工具、绘图软件、办公软件、仿真建模软件、通用分析软件、专业设计软件等），通过方案比选、建模分析，或理论研究或试验研究等手段，</w:t>
      </w:r>
      <w:r>
        <w:rPr>
          <w:rFonts w:ascii="宋体" w:hAnsi="宋体"/>
          <w:sz w:val="24"/>
          <w:szCs w:val="24"/>
        </w:rPr>
        <w:t>进行详细设计</w:t>
      </w:r>
      <w:r>
        <w:rPr>
          <w:rFonts w:hint="eastAsia" w:ascii="宋体" w:hAnsi="宋体"/>
          <w:sz w:val="24"/>
          <w:szCs w:val="24"/>
        </w:rPr>
        <w:t>或项目管理研究或工程技术研究或</w:t>
      </w:r>
      <w:r>
        <w:rPr>
          <w:rFonts w:ascii="宋体" w:hAnsi="宋体"/>
          <w:sz w:val="24"/>
          <w:szCs w:val="24"/>
        </w:rPr>
        <w:t>运用维护研究</w:t>
      </w:r>
      <w:r>
        <w:rPr>
          <w:rFonts w:hint="eastAsia" w:ascii="宋体" w:hAnsi="宋体"/>
          <w:sz w:val="24"/>
          <w:szCs w:val="24"/>
        </w:rPr>
        <w:t>，并</w:t>
      </w:r>
      <w:r>
        <w:rPr>
          <w:rFonts w:ascii="宋体" w:hAnsi="宋体"/>
          <w:sz w:val="24"/>
          <w:szCs w:val="24"/>
        </w:rPr>
        <w:t>绘制设计图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撰写设计说明书</w:t>
      </w:r>
      <w:r>
        <w:rPr>
          <w:rFonts w:hint="eastAsia" w:ascii="宋体" w:hAnsi="宋体"/>
          <w:sz w:val="24"/>
          <w:szCs w:val="24"/>
        </w:rPr>
        <w:t>，完成设计文档或研究论文，并满足轨道交通信号专业相关的标准、规范等</w:t>
      </w:r>
      <w:r>
        <w:rPr>
          <w:rFonts w:ascii="宋体" w:hAnsi="宋体"/>
          <w:sz w:val="24"/>
          <w:szCs w:val="24"/>
        </w:rPr>
        <w:t>。</w:t>
      </w:r>
    </w:p>
    <w:p w14:paraId="166A9CDF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课程目标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、学生能够利用多媒体或其他辅助工具，清晰地展示、陈述自己的设计或研究意图、过程和结论，并能正确、有效地理解、回答及交流专业问题。</w:t>
      </w:r>
    </w:p>
    <w:p w14:paraId="4D376493"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</w:p>
    <w:p w14:paraId="28649D7D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三、毕业设计</w:t>
      </w:r>
      <w:r>
        <w:rPr>
          <w:rFonts w:ascii="宋体"/>
          <w:b/>
          <w:sz w:val="24"/>
          <w:szCs w:val="24"/>
        </w:rPr>
        <w:t>（</w:t>
      </w:r>
      <w:r>
        <w:rPr>
          <w:rFonts w:hint="eastAsia" w:ascii="宋体"/>
          <w:b/>
          <w:sz w:val="24"/>
          <w:szCs w:val="24"/>
        </w:rPr>
        <w:t>论文</w:t>
      </w:r>
      <w:r>
        <w:rPr>
          <w:rFonts w:ascii="宋体"/>
          <w:b/>
          <w:sz w:val="24"/>
          <w:szCs w:val="24"/>
        </w:rPr>
        <w:t>）</w:t>
      </w:r>
      <w:r>
        <w:rPr>
          <w:rFonts w:hint="eastAsia" w:ascii="宋体"/>
          <w:b/>
          <w:sz w:val="24"/>
          <w:szCs w:val="24"/>
        </w:rPr>
        <w:t>的选题</w:t>
      </w:r>
      <w:r>
        <w:rPr>
          <w:rFonts w:ascii="宋体"/>
          <w:b/>
          <w:sz w:val="24"/>
          <w:szCs w:val="24"/>
        </w:rPr>
        <w:t>基本要求</w:t>
      </w:r>
    </w:p>
    <w:p w14:paraId="7589863D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）指导教师申报毕业设计（论文）的题目应符合专业培养目标，满足人才培养基本要求，使学生在专业知识应用方面得到比较全面的训练。论文题目应与工作、社会等实际任务相结合，内容应属于学生所学专业或相关专业的范围。题目难度和工作量应适合学生的知识、能力、相应的实践条件和毕业设计所规定的时间，学生经过努力能够完成。</w:t>
      </w:r>
    </w:p>
    <w:p w14:paraId="3316FFEC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2）鼓励指导教师采用实际工程项目作为毕业设计（论文）题目，可结合学生工作实际拟定毕业设计（论文）题目。</w:t>
      </w:r>
    </w:p>
    <w:p w14:paraId="125515BB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）毕业设计（论文）选题及任务书要注重科学研究方法和创新方法的训练，综合考虑经济、环境、法律、安全、健康、伦理等制约因素。理论研究类的选题应有工程应用背景，满足科学研究的基本规律，覆盖科学研究的各个方面。工程设计类的选题要符合工程规范和实际要求，涵盖工程设计的各个环节。</w:t>
      </w:r>
    </w:p>
    <w:p w14:paraId="0E4656DB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4）原则上一个学生一个题目，学生</w:t>
      </w:r>
      <w:r>
        <w:rPr>
          <w:rFonts w:ascii="宋体" w:hAnsi="宋体"/>
          <w:sz w:val="24"/>
          <w:szCs w:val="24"/>
        </w:rPr>
        <w:t>在教师指导下</w:t>
      </w:r>
      <w:r>
        <w:rPr>
          <w:rFonts w:hint="eastAsia" w:ascii="宋体" w:hAnsi="宋体"/>
          <w:sz w:val="24"/>
          <w:szCs w:val="24"/>
        </w:rPr>
        <w:t>独立完成论文，工作量满足任务书要求。</w:t>
      </w:r>
    </w:p>
    <w:p w14:paraId="4D14293C">
      <w:pPr>
        <w:spacing w:line="360" w:lineRule="auto"/>
        <w:ind w:firstLine="480"/>
        <w:rPr>
          <w:rFonts w:ascii="黑体" w:eastAsia="黑体"/>
          <w:sz w:val="24"/>
        </w:rPr>
      </w:pPr>
    </w:p>
    <w:p w14:paraId="1B41D09E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四、毕业设计</w:t>
      </w:r>
      <w:r>
        <w:rPr>
          <w:rFonts w:ascii="宋体"/>
          <w:b/>
          <w:sz w:val="24"/>
          <w:szCs w:val="24"/>
        </w:rPr>
        <w:t>（</w:t>
      </w:r>
      <w:r>
        <w:rPr>
          <w:rFonts w:hint="eastAsia" w:ascii="宋体"/>
          <w:b/>
          <w:sz w:val="24"/>
          <w:szCs w:val="24"/>
        </w:rPr>
        <w:t>论文</w:t>
      </w:r>
      <w:r>
        <w:rPr>
          <w:rFonts w:ascii="宋体"/>
          <w:b/>
          <w:sz w:val="24"/>
          <w:szCs w:val="24"/>
        </w:rPr>
        <w:t>）</w:t>
      </w:r>
      <w:r>
        <w:rPr>
          <w:rFonts w:hint="eastAsia" w:ascii="宋体"/>
          <w:b/>
          <w:sz w:val="24"/>
          <w:szCs w:val="24"/>
        </w:rPr>
        <w:t>内容及要求</w:t>
      </w:r>
    </w:p>
    <w:tbl>
      <w:tblPr>
        <w:tblStyle w:val="9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320"/>
        <w:gridCol w:w="1613"/>
        <w:gridCol w:w="4450"/>
        <w:gridCol w:w="1177"/>
      </w:tblGrid>
      <w:tr w14:paraId="25FD82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shd w:val="clear" w:color="auto" w:fill="auto"/>
            <w:vAlign w:val="center"/>
          </w:tcPr>
          <w:p w14:paraId="781209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702" w:type="pct"/>
            <w:shd w:val="clear" w:color="auto" w:fill="auto"/>
          </w:tcPr>
          <w:p w14:paraId="2CD8308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知识单元（章节）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5FE7D5D4">
            <w:pPr>
              <w:ind w:firstLine="315" w:firstLineChars="1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知识点</w:t>
            </w:r>
          </w:p>
        </w:tc>
        <w:tc>
          <w:tcPr>
            <w:tcW w:w="2367" w:type="pct"/>
            <w:shd w:val="clear" w:color="auto" w:fill="auto"/>
            <w:vAlign w:val="center"/>
          </w:tcPr>
          <w:p w14:paraId="61B654CE">
            <w:pPr>
              <w:ind w:firstLine="315" w:firstLineChars="1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教学要求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288B2BA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推荐学时</w:t>
            </w:r>
          </w:p>
        </w:tc>
      </w:tr>
      <w:tr w14:paraId="11E00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shd w:val="clear" w:color="auto" w:fill="auto"/>
            <w:vAlign w:val="center"/>
          </w:tcPr>
          <w:p w14:paraId="41C5E7FC"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045A8792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文献检索及整理归纳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0B60F38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文献综述及开题报告</w:t>
            </w:r>
          </w:p>
        </w:tc>
        <w:tc>
          <w:tcPr>
            <w:tcW w:w="2367" w:type="pct"/>
            <w:shd w:val="clear" w:color="auto" w:fill="auto"/>
            <w:vAlign w:val="center"/>
          </w:tcPr>
          <w:p w14:paraId="3E4A556A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通过收集、学习、研究文献资料，了解课题相关领域的最新发展动态，总结归纳出工程设计或</w:t>
            </w:r>
            <w:r>
              <w:rPr>
                <w:rFonts w:ascii="宋体" w:hAnsi="宋体"/>
                <w:szCs w:val="21"/>
              </w:rPr>
              <w:t>研究</w:t>
            </w:r>
            <w:r>
              <w:rPr>
                <w:rFonts w:hint="eastAsia" w:ascii="宋体" w:hAnsi="宋体"/>
                <w:szCs w:val="21"/>
              </w:rPr>
              <w:t>的</w:t>
            </w:r>
            <w:r>
              <w:rPr>
                <w:rFonts w:ascii="宋体" w:hAnsi="宋体"/>
                <w:szCs w:val="21"/>
              </w:rPr>
              <w:t>基本内容、程序和方法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撰写开题报告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12A14A29"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</w:t>
            </w:r>
          </w:p>
        </w:tc>
      </w:tr>
      <w:tr w14:paraId="54F69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shd w:val="clear" w:color="auto" w:fill="auto"/>
            <w:vAlign w:val="center"/>
          </w:tcPr>
          <w:p w14:paraId="3A5C3FDA"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50FBBBAD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工程设计（或理论研究，或软件编程，或试验研究）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16E9CC0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理论分析和计算，软件建模</w:t>
            </w:r>
            <w:r>
              <w:rPr>
                <w:rFonts w:ascii="宋体" w:hAnsi="宋体"/>
                <w:szCs w:val="21"/>
              </w:rPr>
              <w:t>、计算及分析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试验研究及分析</w:t>
            </w:r>
          </w:p>
        </w:tc>
        <w:tc>
          <w:tcPr>
            <w:tcW w:w="2367" w:type="pct"/>
            <w:shd w:val="clear" w:color="auto" w:fill="auto"/>
            <w:vAlign w:val="center"/>
          </w:tcPr>
          <w:p w14:paraId="2711DA7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根据</w:t>
            </w:r>
            <w:r>
              <w:rPr>
                <w:rFonts w:ascii="宋体" w:hAnsi="宋体"/>
                <w:szCs w:val="21"/>
              </w:rPr>
              <w:t>功能</w:t>
            </w:r>
            <w:r>
              <w:rPr>
                <w:rFonts w:hint="eastAsia" w:ascii="宋体" w:hAnsi="宋体"/>
                <w:szCs w:val="21"/>
              </w:rPr>
              <w:t>要求</w:t>
            </w:r>
            <w:r>
              <w:rPr>
                <w:rFonts w:ascii="宋体" w:hAnsi="宋体"/>
                <w:szCs w:val="21"/>
              </w:rPr>
              <w:t>、经济技术指标、环境与社会等因素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进行</w:t>
            </w:r>
            <w:r>
              <w:rPr>
                <w:rFonts w:hint="eastAsia" w:ascii="宋体" w:hAnsi="宋体"/>
                <w:szCs w:val="21"/>
              </w:rPr>
              <w:t>工程方案比选，培养学生的工程意识，建立工程整体概念。正确运用有关设计规范、规程、设计手册等专业工具书以及合理的分析方法建立正确的模型，进行设计和计算；或使用计算机软件进行建模计算、用数据处理软件或自编程序对计算结果进行分析；或</w:t>
            </w:r>
            <w:r>
              <w:rPr>
                <w:rFonts w:ascii="宋体" w:hAnsi="宋体"/>
                <w:szCs w:val="21"/>
              </w:rPr>
              <w:t>利用有关理论方法、计算</w:t>
            </w:r>
            <w:r>
              <w:rPr>
                <w:rFonts w:hint="eastAsia" w:ascii="宋体" w:hAnsi="宋体"/>
                <w:szCs w:val="21"/>
              </w:rPr>
              <w:t>工具</w:t>
            </w:r>
            <w:r>
              <w:rPr>
                <w:rFonts w:ascii="宋体" w:hAnsi="宋体"/>
                <w:szCs w:val="21"/>
              </w:rPr>
              <w:t>或试验手段，</w:t>
            </w:r>
            <w:r>
              <w:rPr>
                <w:rFonts w:hint="eastAsia" w:ascii="宋体" w:hAnsi="宋体"/>
                <w:szCs w:val="21"/>
              </w:rPr>
              <w:t>结合工程背景，表述、</w:t>
            </w:r>
            <w:r>
              <w:rPr>
                <w:rFonts w:ascii="宋体" w:hAnsi="宋体"/>
                <w:szCs w:val="21"/>
              </w:rPr>
              <w:t>探讨</w:t>
            </w:r>
            <w:r>
              <w:rPr>
                <w:rFonts w:hint="eastAsia" w:ascii="宋体" w:hAnsi="宋体"/>
                <w:szCs w:val="21"/>
              </w:rPr>
              <w:t>、分析某一</w:t>
            </w:r>
            <w:r>
              <w:rPr>
                <w:rFonts w:ascii="宋体" w:hAnsi="宋体"/>
                <w:szCs w:val="21"/>
              </w:rPr>
              <w:t>技术问题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2BD6963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180</w:t>
            </w:r>
            <w:r>
              <w:rPr>
                <w:rFonts w:ascii="Times New Roman" w:hAnsi="Times New Roman"/>
                <w:szCs w:val="21"/>
              </w:rPr>
              <w:t>~200</w:t>
            </w:r>
          </w:p>
        </w:tc>
      </w:tr>
      <w:tr w14:paraId="56538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shd w:val="clear" w:color="auto" w:fill="auto"/>
            <w:vAlign w:val="center"/>
          </w:tcPr>
          <w:p w14:paraId="5CD34256"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141395C8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</w:t>
            </w:r>
            <w:r>
              <w:rPr>
                <w:rFonts w:ascii="宋体" w:hAnsi="宋体"/>
                <w:szCs w:val="21"/>
              </w:rPr>
              <w:t>文件撰写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78986E7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论文的撰写</w:t>
            </w:r>
            <w:r>
              <w:rPr>
                <w:rFonts w:hint="eastAsia" w:ascii="宋体" w:hAnsi="宋体"/>
                <w:szCs w:val="21"/>
              </w:rPr>
              <w:t>，或工程</w:t>
            </w:r>
            <w:r>
              <w:rPr>
                <w:rFonts w:ascii="宋体" w:hAnsi="宋体"/>
                <w:szCs w:val="21"/>
              </w:rPr>
              <w:t>设计图</w:t>
            </w:r>
            <w:r>
              <w:rPr>
                <w:rFonts w:hint="eastAsia" w:ascii="宋体" w:hAnsi="宋体"/>
                <w:szCs w:val="21"/>
              </w:rPr>
              <w:t>册</w:t>
            </w:r>
            <w:r>
              <w:rPr>
                <w:rFonts w:ascii="宋体" w:hAnsi="宋体"/>
                <w:szCs w:val="21"/>
              </w:rPr>
              <w:t>绘制</w:t>
            </w:r>
            <w:r>
              <w:rPr>
                <w:rFonts w:hint="eastAsia" w:ascii="宋体" w:hAnsi="宋体"/>
                <w:szCs w:val="21"/>
              </w:rPr>
              <w:t>及说明</w:t>
            </w:r>
          </w:p>
        </w:tc>
        <w:tc>
          <w:tcPr>
            <w:tcW w:w="2367" w:type="pct"/>
            <w:shd w:val="clear" w:color="auto" w:fill="auto"/>
            <w:vAlign w:val="center"/>
          </w:tcPr>
          <w:p w14:paraId="3B40923C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利用编辑软件撰写计算书、论文，利用绘图软件绘制工程图。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369452D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</w:t>
            </w:r>
            <w:r>
              <w:rPr>
                <w:rFonts w:ascii="Times New Roman" w:hAnsi="Times New Roman"/>
                <w:szCs w:val="21"/>
              </w:rPr>
              <w:t>~</w:t>
            </w:r>
            <w:r>
              <w:rPr>
                <w:rFonts w:ascii="宋体" w:hAnsi="宋体"/>
                <w:szCs w:val="21"/>
              </w:rPr>
              <w:t>60</w:t>
            </w:r>
          </w:p>
        </w:tc>
      </w:tr>
      <w:tr w14:paraId="14F605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pct"/>
            <w:shd w:val="clear" w:color="auto" w:fill="auto"/>
            <w:vAlign w:val="center"/>
          </w:tcPr>
          <w:p w14:paraId="63704EEF"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67255BEC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答辩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4D7C4FA1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沟通和交流</w:t>
            </w:r>
          </w:p>
        </w:tc>
        <w:tc>
          <w:tcPr>
            <w:tcW w:w="2367" w:type="pct"/>
            <w:shd w:val="clear" w:color="auto" w:fill="auto"/>
            <w:vAlign w:val="center"/>
          </w:tcPr>
          <w:p w14:paraId="68CDAB7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使用多媒体清晰地展示、陈述自己的设计或研究意图、过程和结论，并能够正确回答问题。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20AED22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Times New Roman" w:hAnsi="Times New Roman"/>
                <w:szCs w:val="21"/>
              </w:rPr>
              <w:t>~</w:t>
            </w: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</w:t>
            </w:r>
          </w:p>
        </w:tc>
      </w:tr>
    </w:tbl>
    <w:p w14:paraId="0CBBED88">
      <w:pPr>
        <w:widowControl/>
        <w:spacing w:line="360" w:lineRule="auto"/>
        <w:ind w:firstLine="480" w:firstLineChars="200"/>
        <w:jc w:val="left"/>
        <w:rPr>
          <w:rFonts w:ascii="黑体" w:hAnsi="宋体" w:eastAsia="黑体"/>
          <w:kern w:val="0"/>
          <w:sz w:val="24"/>
        </w:rPr>
      </w:pPr>
    </w:p>
    <w:p w14:paraId="597A97F1">
      <w:pPr>
        <w:widowControl/>
        <w:jc w:val="left"/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361" w:bottom="1134" w:left="1361" w:header="851" w:footer="992" w:gutter="0"/>
          <w:pgNumType w:start="1"/>
          <w:cols w:space="425" w:num="1"/>
          <w:docGrid w:type="lines" w:linePitch="312" w:charSpace="0"/>
        </w:sectPr>
      </w:pPr>
      <w:r>
        <w:rPr>
          <w:sz w:val="24"/>
          <w:szCs w:val="24"/>
        </w:rPr>
        <w:br w:type="page"/>
      </w:r>
    </w:p>
    <w:p w14:paraId="50B3FABF">
      <w:pPr>
        <w:widowControl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附件：</w:t>
      </w:r>
    </w:p>
    <w:p w14:paraId="765E0B3D">
      <w:pPr>
        <w:spacing w:line="360" w:lineRule="auto"/>
        <w:ind w:firstLine="452" w:firstLineChars="150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</w:rPr>
        <w:t>自动化专业毕业设计</w:t>
      </w:r>
      <w:r>
        <w:rPr>
          <w:rFonts w:ascii="宋体"/>
          <w:b/>
          <w:sz w:val="30"/>
          <w:szCs w:val="30"/>
        </w:rPr>
        <w:t>（</w:t>
      </w:r>
      <w:r>
        <w:rPr>
          <w:rFonts w:hint="eastAsia" w:ascii="宋体"/>
          <w:b/>
          <w:sz w:val="30"/>
          <w:szCs w:val="30"/>
        </w:rPr>
        <w:t>论文</w:t>
      </w:r>
      <w:r>
        <w:rPr>
          <w:rFonts w:ascii="宋体"/>
          <w:b/>
          <w:sz w:val="30"/>
          <w:szCs w:val="30"/>
        </w:rPr>
        <w:t>）</w:t>
      </w:r>
      <w:r>
        <w:rPr>
          <w:rFonts w:hint="eastAsia" w:ascii="宋体"/>
          <w:b/>
          <w:sz w:val="30"/>
          <w:szCs w:val="30"/>
        </w:rPr>
        <w:t>题目一览表</w:t>
      </w:r>
    </w:p>
    <w:tbl>
      <w:tblPr>
        <w:tblStyle w:val="9"/>
        <w:tblW w:w="13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848"/>
        <w:gridCol w:w="6379"/>
        <w:gridCol w:w="992"/>
      </w:tblGrid>
      <w:tr w14:paraId="5EC6B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57FA126F">
            <w:pPr>
              <w:spacing w:line="360" w:lineRule="auto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/>
                <w:b/>
                <w:sz w:val="24"/>
                <w:szCs w:val="24"/>
              </w:rPr>
              <w:t>序号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5A68B63B">
            <w:pPr>
              <w:spacing w:line="360" w:lineRule="auto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/>
                <w:b/>
                <w:sz w:val="24"/>
                <w:szCs w:val="24"/>
              </w:rPr>
              <w:t>题目名称</w:t>
            </w:r>
          </w:p>
        </w:tc>
        <w:tc>
          <w:tcPr>
            <w:tcW w:w="6379" w:type="dxa"/>
            <w:vAlign w:val="center"/>
          </w:tcPr>
          <w:p w14:paraId="0CCB1408">
            <w:pPr>
              <w:spacing w:line="360" w:lineRule="auto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/>
                <w:b/>
                <w:sz w:val="24"/>
                <w:szCs w:val="24"/>
              </w:rPr>
              <w:t>对本题目的解释（可包含知识点、对写作技巧的要求等）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3B43A9">
            <w:pPr>
              <w:spacing w:line="360" w:lineRule="auto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/>
                <w:b/>
                <w:sz w:val="24"/>
                <w:szCs w:val="24"/>
              </w:rPr>
              <w:t>备注</w:t>
            </w:r>
          </w:p>
        </w:tc>
      </w:tr>
      <w:tr w14:paraId="6052D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5E7E1D5F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1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7B989C26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××站计算机联锁工程设计</w:t>
            </w:r>
          </w:p>
        </w:tc>
        <w:tc>
          <w:tcPr>
            <w:tcW w:w="6379" w:type="dxa"/>
            <w:vAlign w:val="center"/>
          </w:tcPr>
          <w:p w14:paraId="5D6E050C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依据车站计算机联锁设计规范要求，说明该车站基本情况和功能需求、站场特点，选取一种联锁制式，进行总体设计，完成站场平面图、联锁表、继电接口电路及采集驱动配线表、系统配置等设计；主要工程问题和解决方法，最后给出设计图册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FD9B8D">
            <w:pPr>
              <w:rPr>
                <w:rFonts w:ascii="宋体"/>
                <w:b/>
                <w:sz w:val="22"/>
              </w:rPr>
            </w:pPr>
            <w:r>
              <w:rPr>
                <w:rFonts w:hint="eastAsia" w:ascii="宋体"/>
                <w:sz w:val="22"/>
              </w:rPr>
              <w:t>工程设计类</w:t>
            </w:r>
          </w:p>
        </w:tc>
      </w:tr>
      <w:tr w14:paraId="4B8EB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1DEAF3A1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2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038EF6B0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××站6</w:t>
            </w:r>
            <w:r>
              <w:rPr>
                <w:rFonts w:ascii="等线" w:hAnsi="等线" w:eastAsia="等线"/>
                <w:color w:val="000000"/>
                <w:sz w:val="22"/>
              </w:rPr>
              <w:t>502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电气集中工程设计</w:t>
            </w:r>
          </w:p>
        </w:tc>
        <w:tc>
          <w:tcPr>
            <w:tcW w:w="6379" w:type="dxa"/>
            <w:vAlign w:val="center"/>
          </w:tcPr>
          <w:p w14:paraId="6E2D0D7F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依据联锁设计规范要求，说明该车站基本情况及功能需求、站场特点，进行电气集中工程设计，完成车站信号平面布置图、电路图、各种配线图设计；主要工程问题和解决方法，最后给出设计图册及评价。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6EF713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61E91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435D8319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3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0B9449C9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××线ZPW-2000系列自动闭塞系统工程设计</w:t>
            </w:r>
          </w:p>
        </w:tc>
        <w:tc>
          <w:tcPr>
            <w:tcW w:w="6379" w:type="dxa"/>
            <w:vAlign w:val="center"/>
          </w:tcPr>
          <w:p w14:paraId="264D31B2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依据自动闭塞系统设计规范要求，说明该线路基本情况及功能需求特点，按照流程进行工程设计，完成轨旁设备、轨道连接线、补偿电钢轨绝缘、扼流变压器、调谐区、防雷接地设计及轨道电路调整；主要工程问题和解决方法，最后给出设计图册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AD1A65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0533C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412B40A5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4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0A704440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</w:t>
            </w:r>
            <w:r>
              <w:rPr>
                <w:rFonts w:ascii="等线" w:hAnsi="等线" w:eastAsia="等线"/>
                <w:color w:val="000000"/>
                <w:sz w:val="22"/>
              </w:rPr>
              <w:t>25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Hz相敏（或高压脉冲）轨道电路工程设计</w:t>
            </w:r>
          </w:p>
        </w:tc>
        <w:tc>
          <w:tcPr>
            <w:tcW w:w="6379" w:type="dxa"/>
          </w:tcPr>
          <w:p w14:paraId="13F5A229">
            <w:r>
              <w:rPr>
                <w:rFonts w:hint="eastAsia" w:ascii="等线" w:hAnsi="等线" w:eastAsia="等线"/>
                <w:color w:val="000000"/>
                <w:sz w:val="22"/>
              </w:rPr>
              <w:t>依据</w:t>
            </w:r>
            <w:r>
              <w:rPr>
                <w:rFonts w:ascii="等线" w:hAnsi="等线" w:eastAsia="等线"/>
                <w:color w:val="000000"/>
                <w:sz w:val="22"/>
              </w:rPr>
              <w:t>25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Hz相敏（或高压脉冲）轨道电路设计规范要求，说明该车站基本情况及功能需求和特点，按照流程进行工程设计，完成轨道电路设计调整；主要工程问题和解决方法，最后给出设计图册及评价。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5446B3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69FDB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5565C9C4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5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43726E61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××站车站电码化工程设计</w:t>
            </w:r>
          </w:p>
        </w:tc>
        <w:tc>
          <w:tcPr>
            <w:tcW w:w="6379" w:type="dxa"/>
          </w:tcPr>
          <w:p w14:paraId="2401966B">
            <w:r>
              <w:rPr>
                <w:rFonts w:hint="eastAsia" w:ascii="等线" w:hAnsi="等线" w:eastAsia="等线"/>
                <w:color w:val="000000"/>
                <w:sz w:val="22"/>
              </w:rPr>
              <w:t>依据《铁路车站电码化技术条件》和设计规范要求，说明该车站基本情况、功能需求和特点，确定电码化实施范围，选定二线或四线制，分析机车信号入口电流等技术要求、邻线干扰等主要工程问题和解决方法，最后给出设计图册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B8FF0F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0AF93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51612047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6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0523C07A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××线城市轨道交通列控系统设计</w:t>
            </w:r>
          </w:p>
        </w:tc>
        <w:tc>
          <w:tcPr>
            <w:tcW w:w="6379" w:type="dxa"/>
          </w:tcPr>
          <w:p w14:paraId="46521F30">
            <w:r>
              <w:rPr>
                <w:rFonts w:hint="eastAsia" w:ascii="等线" w:hAnsi="等线" w:eastAsia="等线"/>
                <w:color w:val="000000"/>
                <w:sz w:val="22"/>
              </w:rPr>
              <w:t>依据城市轨道交通列控系统设计规范要求，说明线路基本情况和功能需求和特点，选定CBTC或F</w:t>
            </w:r>
            <w:r>
              <w:rPr>
                <w:rFonts w:ascii="等线" w:hAnsi="等线" w:eastAsia="等线"/>
                <w:color w:val="000000"/>
                <w:sz w:val="22"/>
              </w:rPr>
              <w:t>AO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等列控系统制式，按照流程进行列控系统设计；主要工程问题和解决方法，最后给出设计图册及评价。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F3C2D6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54F96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2A4B466C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7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104F12F5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××站微机监测系统设计</w:t>
            </w:r>
          </w:p>
        </w:tc>
        <w:tc>
          <w:tcPr>
            <w:tcW w:w="6379" w:type="dxa"/>
          </w:tcPr>
          <w:p w14:paraId="74DA811B">
            <w:r>
              <w:rPr>
                <w:rFonts w:hint="eastAsia" w:ascii="等线" w:hAnsi="等线" w:eastAsia="等线"/>
                <w:color w:val="000000"/>
                <w:sz w:val="22"/>
              </w:rPr>
              <w:t>采用软件工程的方法，依据微机监测系统技术条件，说明车站或线路基本情况及功能需求特点，说明技术性能和指标、网络管理方式，完成电源屏、计算机联锁、列控设备接口设计，并对关键技术进行分析；说明主要工程问题和解决方法，最后给出设计图册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84E919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0FFDE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43A6F1FA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8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7686AEF6">
            <w:pPr>
              <w:jc w:val="center"/>
              <w:rPr>
                <w:rFonts w:ascii="等线" w:hAnsi="等线" w:eastAsia="等线"/>
                <w:b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××站集中监测系统设计</w:t>
            </w:r>
          </w:p>
        </w:tc>
        <w:tc>
          <w:tcPr>
            <w:tcW w:w="6379" w:type="dxa"/>
          </w:tcPr>
          <w:p w14:paraId="1AAC7A46">
            <w:r>
              <w:rPr>
                <w:rFonts w:hint="eastAsia" w:ascii="等线" w:hAnsi="等线" w:eastAsia="等线"/>
                <w:color w:val="000000"/>
                <w:sz w:val="22"/>
              </w:rPr>
              <w:t>采用软件工程的方法，依据信号集中监测系统技术条件，说明车站或线路基本情况及功能需求特点，说明技术性能和指标、网络管理方式，完成电源屏、计算机联锁、列控设备接口设计，并对关键技术进行分析；说明主要工程问题和解决方法，最后给出设计图册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50748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16505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6DDF6120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9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03688150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××站驼峰信号设计</w:t>
            </w:r>
          </w:p>
        </w:tc>
        <w:tc>
          <w:tcPr>
            <w:tcW w:w="6379" w:type="dxa"/>
          </w:tcPr>
          <w:p w14:paraId="1283C82C">
            <w:r>
              <w:rPr>
                <w:rFonts w:hint="eastAsia" w:ascii="等线" w:hAnsi="等线" w:eastAsia="等线"/>
                <w:color w:val="000000"/>
                <w:sz w:val="22"/>
              </w:rPr>
              <w:t>采用软件工程的方法，依据编组站综合集成自动化系统（CIPS）系统设计规范要求，说明编组站基本情况和功能需求和特点，按照流程进行工程设计，完成驼峰自动化主要功能设计（驼峰溜放等）；速度控制和测量技术方面主要工程问题和解决方法，最后给出设计图册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F8731E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4AAF3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5A3602A0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10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2282317F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××信号设备（如道岔、信号灯丝）监测与报警系统设计</w:t>
            </w:r>
          </w:p>
        </w:tc>
        <w:tc>
          <w:tcPr>
            <w:tcW w:w="6379" w:type="dxa"/>
          </w:tcPr>
          <w:p w14:paraId="5203548F">
            <w:r>
              <w:rPr>
                <w:rFonts w:hint="eastAsia" w:ascii="等线" w:hAnsi="等线" w:eastAsia="等线"/>
                <w:color w:val="000000"/>
                <w:sz w:val="22"/>
              </w:rPr>
              <w:t>采用软件工程的方法，依据相关设备设计规范要求，说明功能需求和特点，给出主要技术指标、实现方法、设计流程，完成该监测报警系统的功能设计；讨论主要工程问题和解决方法，最后给出设计图册及评价。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67B2DF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5E2B1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55E206D0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11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547D05A2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××信号设备性能及指标分析研究</w:t>
            </w:r>
          </w:p>
        </w:tc>
        <w:tc>
          <w:tcPr>
            <w:tcW w:w="6379" w:type="dxa"/>
            <w:vAlign w:val="center"/>
          </w:tcPr>
          <w:p w14:paraId="5B76750A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分析具体信号设备（如：地面联锁、轨道电路设备，车载ATP、机车信号设备，室内TCC、TDCS、CTC、集中监测、室外转辙机等）工作原理，针对其可靠性、安全性及其他相关技术指标进行理论分析、模拟仿真，提出解决对策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E215CF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理论研究类</w:t>
            </w:r>
          </w:p>
        </w:tc>
      </w:tr>
      <w:tr w14:paraId="49C56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0A5FCD3B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12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0BD30F55">
            <w:pPr>
              <w:jc w:val="center"/>
              <w:rPr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××方法研究与改进（优化）</w:t>
            </w:r>
          </w:p>
        </w:tc>
        <w:tc>
          <w:tcPr>
            <w:tcW w:w="6379" w:type="dxa"/>
            <w:vAlign w:val="center"/>
          </w:tcPr>
          <w:p w14:paraId="0F3CA229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针对现场运营维护需求，对轨道交通（包括高铁、重载、普铁、城市轨道交通）信号系统及信号设备设计、调试、测量、监测、维护等方法（包括算法）进行分析，提出改进（或优化）措施，说明对于某个技术指标具有提升作用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D25C06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7AFE2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13206BB3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13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750C0725">
            <w:pPr>
              <w:jc w:val="center"/>
              <w:rPr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××信号设备研究与试验</w:t>
            </w:r>
          </w:p>
        </w:tc>
        <w:tc>
          <w:tcPr>
            <w:tcW w:w="6379" w:type="dxa"/>
            <w:vAlign w:val="center"/>
          </w:tcPr>
          <w:p w14:paraId="0DE1328F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面向铁路（包括城市轨道交通）信号实际工程问题，结合相关研究课题和现场验证试验，记录测试工程数据，进行整理提炼，通过理论分析和对比，说明试验效果。如道岔工电联合整治措施及实施效果分析。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3500FE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690B8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553970DE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14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624E8D4D">
            <w:pPr>
              <w:jc w:val="center"/>
              <w:rPr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人工智能新技术在铁路信号中的应用研究</w:t>
            </w:r>
          </w:p>
        </w:tc>
        <w:tc>
          <w:tcPr>
            <w:tcW w:w="6379" w:type="dxa"/>
            <w:vAlign w:val="center"/>
          </w:tcPr>
          <w:p w14:paraId="6EEBD749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利用人工智能、物联网、大数据、云计算、5G等新技术，结合铁路（包括城市轨道交通）信号需求，解决工程中存在的问题。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62B909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6A50B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0AB68689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15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2421273A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××线LKJ数据文件编制与试验</w:t>
            </w:r>
          </w:p>
        </w:tc>
        <w:tc>
          <w:tcPr>
            <w:tcW w:w="6379" w:type="dxa"/>
            <w:vAlign w:val="center"/>
          </w:tcPr>
          <w:p w14:paraId="6C9CA479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采用软件工程的方法，基于功能安全的理念，依据《技规》和《列车运行监控装置（LKJ）数据文件编制规范》等L</w:t>
            </w:r>
            <w:r>
              <w:rPr>
                <w:rFonts w:ascii="等线" w:hAnsi="等线" w:eastAsia="等线"/>
                <w:color w:val="000000"/>
                <w:sz w:val="22"/>
              </w:rPr>
              <w:t>KJ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设备设计规范要求，分析该线路基础数据内容、提报及闭环管理流程，针对数据提报和编制等环节主要问题提出解决方法，最后给出L</w:t>
            </w:r>
            <w:r>
              <w:rPr>
                <w:rFonts w:ascii="等线" w:hAnsi="等线" w:eastAsia="等线"/>
                <w:color w:val="000000"/>
                <w:sz w:val="22"/>
              </w:rPr>
              <w:t>KJ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数据模拟检验结果及评价。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5F30A9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软件开发类</w:t>
            </w:r>
          </w:p>
        </w:tc>
      </w:tr>
      <w:tr w14:paraId="618E1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7A7FAC83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16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1B2B39DE">
            <w:pPr>
              <w:jc w:val="center"/>
              <w:rPr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××站联锁软件编制与试验</w:t>
            </w:r>
          </w:p>
        </w:tc>
        <w:tc>
          <w:tcPr>
            <w:tcW w:w="6379" w:type="dxa"/>
            <w:vAlign w:val="center"/>
          </w:tcPr>
          <w:p w14:paraId="4EE4ED36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采用软件工程的方法，基于功能安全的理念，依据该（铁路或城轨）车站特点和设计规范要求，给出软件功能和接口需求、技术指标要求、软件设计和调试平台、设计流程图和关键技术，主要问题和解决方法，最后给出软件在主要场景下的运行结果数据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68CFA7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42E97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7ACB57D1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17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682D0739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××线地面应答器报文编制与试验</w:t>
            </w:r>
          </w:p>
        </w:tc>
        <w:tc>
          <w:tcPr>
            <w:tcW w:w="6379" w:type="dxa"/>
            <w:vAlign w:val="center"/>
          </w:tcPr>
          <w:p w14:paraId="2F9AD0B2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采用软件工程的方法，基于功能安全的理念，依据该线路应答器设备报文编制规范要求，理解报文格式和相关字段含义，给出功能需求、技术指标要求、编制和调试平台、设计流程图和关键技术，主要问题和解决方法，最后给出应答器报文解析和一致性检查结果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1F6CCF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0199F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5BA806B6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18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0CB485CE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列控系统××设备软件编制与测试</w:t>
            </w:r>
          </w:p>
        </w:tc>
        <w:tc>
          <w:tcPr>
            <w:tcW w:w="6379" w:type="dxa"/>
            <w:vAlign w:val="center"/>
          </w:tcPr>
          <w:p w14:paraId="2BD1D06B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采用软件工程的方法，基于功能安全的理念，依据该列控设备设计规范要求，给出软件功能需求、技术指标要求、设计和调试平台、设计流程图和关键技术，主要问题和解决方法，最后给出软件运行结果数据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E359B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47121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39A803C5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19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5B62DBD5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××信号设备控制（或监测）软件设计</w:t>
            </w:r>
          </w:p>
        </w:tc>
        <w:tc>
          <w:tcPr>
            <w:tcW w:w="6379" w:type="dxa"/>
            <w:vAlign w:val="center"/>
          </w:tcPr>
          <w:p w14:paraId="24127EE4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采用软件工程的方法，依据该设备技术条件和指标要求，说明硬件特性，给出软件功能需求、接口方式、设计和调试平台、设计流程图和关键技术，主要问题和解决方法，最后给出软件运行结果及评价。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D55183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7E4A7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270854A6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20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64FAEFCC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牵引电流干扰对××站信号设备影响分析和防护对策</w:t>
            </w:r>
          </w:p>
        </w:tc>
        <w:tc>
          <w:tcPr>
            <w:tcW w:w="6379" w:type="dxa"/>
            <w:vAlign w:val="center"/>
          </w:tcPr>
          <w:p w14:paraId="0EDE9926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结合该信号设备（如轨道电路）工作原理和环境，依据构成电磁干扰三要素，分析牵引电流干扰源特性、传输途径和受扰设备特点，通过实际工程案例，定量分析干扰对信号设备的影响，并提出可行的干扰抑制和防护对策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322859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干扰防护类</w:t>
            </w:r>
          </w:p>
        </w:tc>
      </w:tr>
      <w:tr w14:paraId="2D83A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  <w:vAlign w:val="center"/>
          </w:tcPr>
          <w:p w14:paraId="20B53103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21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685D1A3B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雷电电磁干扰对××站信号设备影响分析和防护对策</w:t>
            </w:r>
          </w:p>
        </w:tc>
        <w:tc>
          <w:tcPr>
            <w:tcW w:w="6379" w:type="dxa"/>
            <w:vAlign w:val="center"/>
          </w:tcPr>
          <w:p w14:paraId="589117D9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结合该信号设备（如信号机）工作原理和环境，依据构成电磁干扰三要素，分析雷电电磁干扰源特性、传输途径和受扰设备特点，通过实际工程案例，定量分析干扰对信号设备的影响，并提出可行的干扰抑制和防护对策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EAE6B8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69029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CAB88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22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E5EB9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××信号设备电磁兼容设计与分析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CABE7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结合该信号设备（如计算机联锁）工作原理和环境，依据构成电磁干扰三要素，分析环境中牵引电流及雷电等干扰源特性、传输途径和受扰设备特点，根据GB</w:t>
            </w:r>
            <w:r>
              <w:rPr>
                <w:rFonts w:ascii="等线" w:hAnsi="等线" w:eastAsia="等线"/>
                <w:color w:val="000000"/>
                <w:sz w:val="22"/>
              </w:rPr>
              <w:t>24338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系列电磁兼容标准，提出可行的电磁兼容设计方案，并进行定量分析。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52A6D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03F7E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69920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23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C81DB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××信号设备防雷电路分析与改进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2B173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结合该信号设备（如轨道电路）工作原理和环境，依据构成电磁干扰三要素，分析雷电电磁干扰源特性、传输途径和受扰设备特点，遵循分区分级分设备的防护原则，通过实际工程案例，定量分析雷电干扰对信号设备的影响和改进措施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A0C8A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2483F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07900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24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45108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××线Z</w:t>
            </w:r>
            <w:r>
              <w:rPr>
                <w:rFonts w:ascii="等线" w:hAnsi="等线" w:eastAsia="等线"/>
                <w:color w:val="000000"/>
                <w:sz w:val="22"/>
              </w:rPr>
              <w:t>PW-2000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轨道电路故障分析与处理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2B19D">
            <w:r>
              <w:rPr>
                <w:rFonts w:hint="eastAsia" w:ascii="等线" w:hAnsi="等线" w:eastAsia="等线"/>
                <w:color w:val="000000"/>
                <w:sz w:val="22"/>
              </w:rPr>
              <w:t>分析Z</w:t>
            </w:r>
            <w:r>
              <w:rPr>
                <w:rFonts w:ascii="等线" w:hAnsi="等线" w:eastAsia="等线"/>
                <w:color w:val="000000"/>
                <w:sz w:val="22"/>
              </w:rPr>
              <w:t>PW-2000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轨道电路工作原理、结构、相关性能指标，结合具体设备所处线路环境，分析造成故障的原因，并通过实物复现或仿真进行定量分析验证，提出故障处理措施以及预防策略。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17E2F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故障处理类</w:t>
            </w:r>
          </w:p>
        </w:tc>
      </w:tr>
      <w:tr w14:paraId="6D00C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66F41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25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917C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××站2</w:t>
            </w:r>
            <w:r>
              <w:rPr>
                <w:rFonts w:ascii="等线" w:hAnsi="等线" w:eastAsia="等线"/>
                <w:color w:val="000000"/>
                <w:sz w:val="22"/>
              </w:rPr>
              <w:t>5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Hz相敏轨道电路故障分析和处理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A3602">
            <w:r>
              <w:rPr>
                <w:rFonts w:hint="eastAsia" w:ascii="等线" w:hAnsi="等线" w:eastAsia="等线"/>
                <w:color w:val="000000"/>
                <w:sz w:val="22"/>
              </w:rPr>
              <w:t>分析</w:t>
            </w:r>
            <w:r>
              <w:rPr>
                <w:rFonts w:ascii="等线" w:hAnsi="等线" w:eastAsia="等线"/>
                <w:color w:val="000000"/>
                <w:sz w:val="22"/>
              </w:rPr>
              <w:t>25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Hz相敏轨道电路工作原理、结构、相关性能指标，结合具体设备所处车站环境，分析造成故障的原因，并通过实物复现或仿真进行定量分析验证，提出故障处理措施以及预防策略。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8450A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72FEE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EF583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26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AA845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××型号转辙机故障分析和处理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66BAE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分析特定型号（包括常用Z</w:t>
            </w:r>
            <w:r>
              <w:rPr>
                <w:rFonts w:ascii="等线" w:hAnsi="等线" w:eastAsia="等线"/>
                <w:color w:val="000000"/>
                <w:sz w:val="22"/>
              </w:rPr>
              <w:t>D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系列电动、Z</w:t>
            </w:r>
            <w:r>
              <w:rPr>
                <w:rFonts w:ascii="等线" w:hAnsi="等线" w:eastAsia="等线"/>
                <w:color w:val="000000"/>
                <w:sz w:val="22"/>
              </w:rPr>
              <w:t>Y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系列电液、S</w:t>
            </w:r>
            <w:r>
              <w:rPr>
                <w:rFonts w:ascii="等线" w:hAnsi="等线" w:eastAsia="等线"/>
                <w:color w:val="000000"/>
                <w:sz w:val="22"/>
              </w:rPr>
              <w:t>700K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等转辙机）工作原理、结构、相关性能指标，结合具体设备所处环境，分析造成故障的原因，并通过实物复现或仿真进行定量分析验证，提出故障处理措施以及预防策略。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371A5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74FA2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38E51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27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AF870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××站道岔故障分析与处理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D5F1B">
            <w:r>
              <w:rPr>
                <w:rFonts w:hint="eastAsia" w:ascii="等线" w:hAnsi="等线" w:eastAsia="等线"/>
                <w:color w:val="000000"/>
                <w:sz w:val="22"/>
              </w:rPr>
              <w:t>分析道岔工作原理、结构、相关性能指标，结合具体设备所处车站环境，分析造成故障的原因，并通过实物复现或仿真进行定量分析验证，提出故障处理措施以及预防策略。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2CAF8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7B9D0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901D9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28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037EE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××站联锁设备故障分析和处理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22A17">
            <w:r>
              <w:rPr>
                <w:rFonts w:hint="eastAsia" w:ascii="等线" w:hAnsi="等线" w:eastAsia="等线"/>
                <w:color w:val="000000"/>
                <w:sz w:val="22"/>
              </w:rPr>
              <w:t>分析特定型号联锁设备工作原理、结构、相关性能指标，结合具体设备所处车站环境，分析造成故障的原因，并通过实物复现或仿真进行定量分析验证，提出故障处理措施以及预防策略。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7AF01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4BAAB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F05C6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29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0DF90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××车载A</w:t>
            </w:r>
            <w:r>
              <w:rPr>
                <w:rFonts w:ascii="等线" w:hAnsi="等线" w:eastAsia="等线"/>
                <w:color w:val="000000"/>
                <w:sz w:val="22"/>
              </w:rPr>
              <w:t>TP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设备故障分析和处理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B0BD7">
            <w:r>
              <w:rPr>
                <w:rFonts w:hint="eastAsia" w:ascii="等线" w:hAnsi="等线" w:eastAsia="等线"/>
                <w:color w:val="000000"/>
                <w:sz w:val="22"/>
              </w:rPr>
              <w:t>分析特定型号车载A</w:t>
            </w:r>
            <w:r>
              <w:rPr>
                <w:rFonts w:ascii="等线" w:hAnsi="等线" w:eastAsia="等线"/>
                <w:color w:val="000000"/>
                <w:sz w:val="22"/>
              </w:rPr>
              <w:t>TP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工作原理、结构、相关性能指标，结合具体设备所处环境，分析造成故障的原因，并通过实物复现或仿真进行定量分析验证，提出故障处理措施以及预防策略。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310A7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56B1C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51511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30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8D72A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××站车站电码化故障分析和处理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114C1">
            <w:r>
              <w:rPr>
                <w:rFonts w:hint="eastAsia" w:ascii="等线" w:hAnsi="等线" w:eastAsia="等线"/>
                <w:color w:val="000000"/>
                <w:sz w:val="22"/>
              </w:rPr>
              <w:t>分析车站电码化设备工作原理、结构、相关性能指标，结合具体设备所处环境，分析造成故障的原因，并通过实物复现或仿真进行定量分析验证，提出故障处理措施以及预防策略。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B2B2C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1C752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72DE8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31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EE1FB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××机车信号故障分析和处理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93869">
            <w:r>
              <w:rPr>
                <w:rFonts w:hint="eastAsia" w:ascii="等线" w:hAnsi="等线" w:eastAsia="等线"/>
                <w:color w:val="000000"/>
                <w:sz w:val="22"/>
              </w:rPr>
              <w:t>分析特定型号机车信号设备工作原理、结构、相关性能指标，结合具体设备所处环境，分析造成故障的原因，并通过实物复现或仿真进行定量分析验证，提出故障处理措施以及预防策略。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DA629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48893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05F2A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32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459AB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××站CTC设备故障分析和处理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3FD58">
            <w:r>
              <w:rPr>
                <w:rFonts w:hint="eastAsia" w:ascii="等线" w:hAnsi="等线" w:eastAsia="等线"/>
                <w:color w:val="000000"/>
                <w:sz w:val="22"/>
              </w:rPr>
              <w:t>分析CTC（调度集中设备）工作原理、结构、相关性能指标，结合具体设备所处环境，分析造成故障的原因，并通过实物复现或仿真进行定量分析验证，提出故障处理措施以及预防策略。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68CF6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71298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27384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33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D5317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××站××信号设备故障分析和处理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88046">
            <w:r>
              <w:rPr>
                <w:rFonts w:hint="eastAsia" w:ascii="等线" w:hAnsi="等线" w:eastAsia="等线"/>
                <w:color w:val="000000"/>
                <w:sz w:val="22"/>
              </w:rPr>
              <w:t>分析信号设备（如：TCC、TDCS、R</w:t>
            </w:r>
            <w:r>
              <w:rPr>
                <w:rFonts w:ascii="等线" w:hAnsi="等线" w:eastAsia="等线"/>
                <w:color w:val="000000"/>
                <w:sz w:val="22"/>
              </w:rPr>
              <w:t>BC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、集中监测等）工作原理、结构、相关性能指标，结合具体设备所处环境，分析造成故障的原因，并通过实物复现或仿真进行定量分析验证，提出故障处理措施以及预防策略。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2E594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048D4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773A1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34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7BB23">
            <w:pPr>
              <w:jc w:val="center"/>
              <w:rPr>
                <w:sz w:val="22"/>
              </w:rPr>
            </w:pPr>
            <w:r>
              <w:rPr>
                <w:rFonts w:hint="eastAsia" w:ascii="宋体"/>
                <w:sz w:val="22"/>
              </w:rPr>
              <w:t>微机监测在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××</w:t>
            </w:r>
            <w:r>
              <w:rPr>
                <w:rFonts w:hint="eastAsia" w:ascii="宋体"/>
                <w:sz w:val="22"/>
              </w:rPr>
              <w:t>信号设备故障分析（诊断、预测）中的应用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B2092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根据该信号设备工作原理和技术指标，通过对微机监测记录数据变化特性分析，结合本设备电气特性时间变化规律以及相关设备之间的关联性，分析设备故障原因。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56099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  <w:tr w14:paraId="5AA79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2E332">
            <w:pPr>
              <w:jc w:val="center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35</w:t>
            </w:r>
          </w:p>
        </w:tc>
        <w:tc>
          <w:tcPr>
            <w:tcW w:w="4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D802E">
            <w:pPr>
              <w:jc w:val="center"/>
              <w:rPr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××</w:t>
            </w:r>
            <w:r>
              <w:rPr>
                <w:rFonts w:hint="eastAsia" w:ascii="宋体"/>
                <w:sz w:val="22"/>
              </w:rPr>
              <w:t>新技术在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××</w:t>
            </w:r>
            <w:r>
              <w:rPr>
                <w:rFonts w:hint="eastAsia" w:ascii="宋体"/>
                <w:sz w:val="22"/>
              </w:rPr>
              <w:t>信号设备故障处理（分析、诊断、预测）中的应用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A7AB6">
            <w:pPr>
              <w:jc w:val="left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根据该信号设备工作原理和技术指标，利用机器学习等新技术，通过对集中监测系统中大量记录数据变化特性分析，结合本设备电气特性时间变化规律以及相关设备之间的关联性，分析设备故障原因，并提出故障预测方法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23BE6">
            <w:pPr>
              <w:spacing w:line="360" w:lineRule="auto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同上</w:t>
            </w:r>
          </w:p>
        </w:tc>
      </w:tr>
    </w:tbl>
    <w:p w14:paraId="3D21CEEA">
      <w:pPr>
        <w:spacing w:line="360" w:lineRule="auto"/>
        <w:rPr>
          <w:rFonts w:ascii="宋体"/>
          <w:b/>
          <w:sz w:val="30"/>
          <w:szCs w:val="30"/>
        </w:rPr>
      </w:pPr>
    </w:p>
    <w:sectPr>
      <w:pgSz w:w="16838" w:h="11906" w:orient="landscape"/>
      <w:pgMar w:top="1361" w:right="1440" w:bottom="1361" w:left="113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F74CED"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 w14:paraId="10761E2F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76196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MmM2MWQ0NTg1MWI2NTMxMWI5ZWQyYjJmMzExZjcifQ=="/>
  </w:docVars>
  <w:rsids>
    <w:rsidRoot w:val="00450E64"/>
    <w:rsid w:val="00006037"/>
    <w:rsid w:val="000076DB"/>
    <w:rsid w:val="000079C0"/>
    <w:rsid w:val="000136E9"/>
    <w:rsid w:val="00020BD9"/>
    <w:rsid w:val="000234E2"/>
    <w:rsid w:val="0003062D"/>
    <w:rsid w:val="00051A98"/>
    <w:rsid w:val="00057F35"/>
    <w:rsid w:val="00063C66"/>
    <w:rsid w:val="000668F7"/>
    <w:rsid w:val="00076C08"/>
    <w:rsid w:val="00090E7E"/>
    <w:rsid w:val="00090F04"/>
    <w:rsid w:val="000965BF"/>
    <w:rsid w:val="000A1C41"/>
    <w:rsid w:val="000A7DD3"/>
    <w:rsid w:val="000B345A"/>
    <w:rsid w:val="000C59C7"/>
    <w:rsid w:val="000D22DA"/>
    <w:rsid w:val="000D467E"/>
    <w:rsid w:val="000E30F4"/>
    <w:rsid w:val="000E57C4"/>
    <w:rsid w:val="000F1315"/>
    <w:rsid w:val="0010663A"/>
    <w:rsid w:val="00111E19"/>
    <w:rsid w:val="00112B5F"/>
    <w:rsid w:val="001141F8"/>
    <w:rsid w:val="00116157"/>
    <w:rsid w:val="00133E2C"/>
    <w:rsid w:val="00144FEA"/>
    <w:rsid w:val="001456E9"/>
    <w:rsid w:val="00147C4E"/>
    <w:rsid w:val="00155F49"/>
    <w:rsid w:val="00164EB9"/>
    <w:rsid w:val="001657E8"/>
    <w:rsid w:val="00191CE1"/>
    <w:rsid w:val="00193766"/>
    <w:rsid w:val="00197441"/>
    <w:rsid w:val="001A1DAD"/>
    <w:rsid w:val="001A66D1"/>
    <w:rsid w:val="001A724A"/>
    <w:rsid w:val="001A7C74"/>
    <w:rsid w:val="001A7D1C"/>
    <w:rsid w:val="001B5C2E"/>
    <w:rsid w:val="001B64ED"/>
    <w:rsid w:val="001D6C8E"/>
    <w:rsid w:val="001E7FB5"/>
    <w:rsid w:val="001F080D"/>
    <w:rsid w:val="001F60EB"/>
    <w:rsid w:val="0020093C"/>
    <w:rsid w:val="002112F7"/>
    <w:rsid w:val="00213C3B"/>
    <w:rsid w:val="00213FC0"/>
    <w:rsid w:val="0022362C"/>
    <w:rsid w:val="00234CBE"/>
    <w:rsid w:val="00236D84"/>
    <w:rsid w:val="00245AFE"/>
    <w:rsid w:val="00265084"/>
    <w:rsid w:val="00271C81"/>
    <w:rsid w:val="002737F9"/>
    <w:rsid w:val="00292EE9"/>
    <w:rsid w:val="002A5BA2"/>
    <w:rsid w:val="002C3981"/>
    <w:rsid w:val="002D0D05"/>
    <w:rsid w:val="002D0F0B"/>
    <w:rsid w:val="002D23DA"/>
    <w:rsid w:val="002D2C9E"/>
    <w:rsid w:val="002D6477"/>
    <w:rsid w:val="00310CCF"/>
    <w:rsid w:val="0031731A"/>
    <w:rsid w:val="0031751A"/>
    <w:rsid w:val="00333091"/>
    <w:rsid w:val="0033664C"/>
    <w:rsid w:val="00337A56"/>
    <w:rsid w:val="003410C7"/>
    <w:rsid w:val="00350A11"/>
    <w:rsid w:val="00353437"/>
    <w:rsid w:val="00357F49"/>
    <w:rsid w:val="003639DA"/>
    <w:rsid w:val="003643D3"/>
    <w:rsid w:val="00365712"/>
    <w:rsid w:val="0037301E"/>
    <w:rsid w:val="003736DB"/>
    <w:rsid w:val="0039318E"/>
    <w:rsid w:val="003932BF"/>
    <w:rsid w:val="00395FFD"/>
    <w:rsid w:val="00397F5B"/>
    <w:rsid w:val="003A060E"/>
    <w:rsid w:val="003A06E2"/>
    <w:rsid w:val="003A3153"/>
    <w:rsid w:val="003B5EE1"/>
    <w:rsid w:val="003C6138"/>
    <w:rsid w:val="003D1E9F"/>
    <w:rsid w:val="003D3273"/>
    <w:rsid w:val="003D613D"/>
    <w:rsid w:val="003E78E6"/>
    <w:rsid w:val="003F14A4"/>
    <w:rsid w:val="003F22C0"/>
    <w:rsid w:val="003F593B"/>
    <w:rsid w:val="003F6CFC"/>
    <w:rsid w:val="0040296E"/>
    <w:rsid w:val="004116A7"/>
    <w:rsid w:val="0041582A"/>
    <w:rsid w:val="00421106"/>
    <w:rsid w:val="004212D0"/>
    <w:rsid w:val="00422CF2"/>
    <w:rsid w:val="004310B8"/>
    <w:rsid w:val="00450E64"/>
    <w:rsid w:val="004514A5"/>
    <w:rsid w:val="00465473"/>
    <w:rsid w:val="00471E0D"/>
    <w:rsid w:val="00481F54"/>
    <w:rsid w:val="00491FBD"/>
    <w:rsid w:val="004972C6"/>
    <w:rsid w:val="004B17AD"/>
    <w:rsid w:val="004B363E"/>
    <w:rsid w:val="004C5AFA"/>
    <w:rsid w:val="004F505A"/>
    <w:rsid w:val="00500900"/>
    <w:rsid w:val="00500ADA"/>
    <w:rsid w:val="00513568"/>
    <w:rsid w:val="00523686"/>
    <w:rsid w:val="00525184"/>
    <w:rsid w:val="00534CD5"/>
    <w:rsid w:val="005455F7"/>
    <w:rsid w:val="005569B1"/>
    <w:rsid w:val="00565D15"/>
    <w:rsid w:val="00573503"/>
    <w:rsid w:val="005821D7"/>
    <w:rsid w:val="005830C2"/>
    <w:rsid w:val="005837EB"/>
    <w:rsid w:val="005867E2"/>
    <w:rsid w:val="00593D5F"/>
    <w:rsid w:val="00593E79"/>
    <w:rsid w:val="005A29EA"/>
    <w:rsid w:val="005B1091"/>
    <w:rsid w:val="005C78CF"/>
    <w:rsid w:val="005E3680"/>
    <w:rsid w:val="005E4142"/>
    <w:rsid w:val="005F0487"/>
    <w:rsid w:val="00603564"/>
    <w:rsid w:val="00604E8C"/>
    <w:rsid w:val="00605716"/>
    <w:rsid w:val="00616F03"/>
    <w:rsid w:val="00653976"/>
    <w:rsid w:val="00664540"/>
    <w:rsid w:val="00673B1A"/>
    <w:rsid w:val="006762FD"/>
    <w:rsid w:val="00681498"/>
    <w:rsid w:val="00690A16"/>
    <w:rsid w:val="00694D07"/>
    <w:rsid w:val="006A13D3"/>
    <w:rsid w:val="006A3E5C"/>
    <w:rsid w:val="006B7C90"/>
    <w:rsid w:val="006C3C08"/>
    <w:rsid w:val="006D3449"/>
    <w:rsid w:val="006F0DAD"/>
    <w:rsid w:val="006F773A"/>
    <w:rsid w:val="007003A8"/>
    <w:rsid w:val="00705B7D"/>
    <w:rsid w:val="00707734"/>
    <w:rsid w:val="00712026"/>
    <w:rsid w:val="0075576B"/>
    <w:rsid w:val="00755B4A"/>
    <w:rsid w:val="007604AC"/>
    <w:rsid w:val="00764AA4"/>
    <w:rsid w:val="0076785C"/>
    <w:rsid w:val="00776001"/>
    <w:rsid w:val="007760CD"/>
    <w:rsid w:val="00782E6E"/>
    <w:rsid w:val="00790A4D"/>
    <w:rsid w:val="00792C23"/>
    <w:rsid w:val="00797E31"/>
    <w:rsid w:val="007B0AE2"/>
    <w:rsid w:val="007B4371"/>
    <w:rsid w:val="007C49EC"/>
    <w:rsid w:val="007C7F14"/>
    <w:rsid w:val="007D57A4"/>
    <w:rsid w:val="007D6B9D"/>
    <w:rsid w:val="007E1056"/>
    <w:rsid w:val="007E14FB"/>
    <w:rsid w:val="007E1F0F"/>
    <w:rsid w:val="007E423C"/>
    <w:rsid w:val="007E5EB4"/>
    <w:rsid w:val="007F3D6B"/>
    <w:rsid w:val="008242F4"/>
    <w:rsid w:val="0082714E"/>
    <w:rsid w:val="00835F70"/>
    <w:rsid w:val="00844553"/>
    <w:rsid w:val="00847D9D"/>
    <w:rsid w:val="00866132"/>
    <w:rsid w:val="00872B0D"/>
    <w:rsid w:val="00874B1B"/>
    <w:rsid w:val="00874CB4"/>
    <w:rsid w:val="00876E16"/>
    <w:rsid w:val="00881070"/>
    <w:rsid w:val="008837C1"/>
    <w:rsid w:val="008972D2"/>
    <w:rsid w:val="00897453"/>
    <w:rsid w:val="008A1FE2"/>
    <w:rsid w:val="008B02ED"/>
    <w:rsid w:val="008B72A7"/>
    <w:rsid w:val="008C2FE1"/>
    <w:rsid w:val="008D02FB"/>
    <w:rsid w:val="008D5BBA"/>
    <w:rsid w:val="008D64C8"/>
    <w:rsid w:val="008F77EE"/>
    <w:rsid w:val="00905839"/>
    <w:rsid w:val="00926D22"/>
    <w:rsid w:val="00930505"/>
    <w:rsid w:val="00934003"/>
    <w:rsid w:val="009351FB"/>
    <w:rsid w:val="00936275"/>
    <w:rsid w:val="00943771"/>
    <w:rsid w:val="009452EC"/>
    <w:rsid w:val="00946771"/>
    <w:rsid w:val="00946A53"/>
    <w:rsid w:val="00956F66"/>
    <w:rsid w:val="0097253C"/>
    <w:rsid w:val="009A44F5"/>
    <w:rsid w:val="009A7670"/>
    <w:rsid w:val="009B434A"/>
    <w:rsid w:val="009B5C5B"/>
    <w:rsid w:val="009C1588"/>
    <w:rsid w:val="009D15F7"/>
    <w:rsid w:val="009D4079"/>
    <w:rsid w:val="009E0CE1"/>
    <w:rsid w:val="00A03920"/>
    <w:rsid w:val="00A03E18"/>
    <w:rsid w:val="00A2271F"/>
    <w:rsid w:val="00A40F37"/>
    <w:rsid w:val="00A463A4"/>
    <w:rsid w:val="00A57A18"/>
    <w:rsid w:val="00A61CC5"/>
    <w:rsid w:val="00A817FA"/>
    <w:rsid w:val="00A91BBA"/>
    <w:rsid w:val="00A923AF"/>
    <w:rsid w:val="00A979C3"/>
    <w:rsid w:val="00AA2A1A"/>
    <w:rsid w:val="00AA6A49"/>
    <w:rsid w:val="00AC49F5"/>
    <w:rsid w:val="00AD6F13"/>
    <w:rsid w:val="00AD6FC9"/>
    <w:rsid w:val="00AE164A"/>
    <w:rsid w:val="00AE5E36"/>
    <w:rsid w:val="00AF40CB"/>
    <w:rsid w:val="00B00153"/>
    <w:rsid w:val="00B0406E"/>
    <w:rsid w:val="00B211F8"/>
    <w:rsid w:val="00B2265C"/>
    <w:rsid w:val="00B40A47"/>
    <w:rsid w:val="00B475ED"/>
    <w:rsid w:val="00B54317"/>
    <w:rsid w:val="00B62EF6"/>
    <w:rsid w:val="00B6418E"/>
    <w:rsid w:val="00B6648D"/>
    <w:rsid w:val="00B93FDA"/>
    <w:rsid w:val="00B976C3"/>
    <w:rsid w:val="00BA1E0C"/>
    <w:rsid w:val="00BA1F67"/>
    <w:rsid w:val="00BA43BA"/>
    <w:rsid w:val="00BA6282"/>
    <w:rsid w:val="00BB3742"/>
    <w:rsid w:val="00BC006B"/>
    <w:rsid w:val="00BC1215"/>
    <w:rsid w:val="00BE1E6F"/>
    <w:rsid w:val="00BE210A"/>
    <w:rsid w:val="00BE43CD"/>
    <w:rsid w:val="00BF108E"/>
    <w:rsid w:val="00BF6BBE"/>
    <w:rsid w:val="00C00D16"/>
    <w:rsid w:val="00C0325C"/>
    <w:rsid w:val="00C104C7"/>
    <w:rsid w:val="00C33E30"/>
    <w:rsid w:val="00C372B4"/>
    <w:rsid w:val="00C575CA"/>
    <w:rsid w:val="00C779AA"/>
    <w:rsid w:val="00C77C38"/>
    <w:rsid w:val="00C85664"/>
    <w:rsid w:val="00C97154"/>
    <w:rsid w:val="00CA376B"/>
    <w:rsid w:val="00CA72BE"/>
    <w:rsid w:val="00CB5B82"/>
    <w:rsid w:val="00CD39BC"/>
    <w:rsid w:val="00CD592F"/>
    <w:rsid w:val="00CE1EBB"/>
    <w:rsid w:val="00CE5101"/>
    <w:rsid w:val="00CE6E13"/>
    <w:rsid w:val="00CE73C4"/>
    <w:rsid w:val="00D06D77"/>
    <w:rsid w:val="00D14966"/>
    <w:rsid w:val="00D16C6E"/>
    <w:rsid w:val="00D26DA2"/>
    <w:rsid w:val="00D36353"/>
    <w:rsid w:val="00D43261"/>
    <w:rsid w:val="00D56B61"/>
    <w:rsid w:val="00D71BB6"/>
    <w:rsid w:val="00D77C08"/>
    <w:rsid w:val="00D8187E"/>
    <w:rsid w:val="00D90E31"/>
    <w:rsid w:val="00DB0797"/>
    <w:rsid w:val="00DB0DAE"/>
    <w:rsid w:val="00DB405A"/>
    <w:rsid w:val="00DC04AF"/>
    <w:rsid w:val="00DC5171"/>
    <w:rsid w:val="00DC79FC"/>
    <w:rsid w:val="00DF7460"/>
    <w:rsid w:val="00E27D6C"/>
    <w:rsid w:val="00E41CF8"/>
    <w:rsid w:val="00E41D4E"/>
    <w:rsid w:val="00E42E3E"/>
    <w:rsid w:val="00E42F22"/>
    <w:rsid w:val="00E50FB6"/>
    <w:rsid w:val="00E60028"/>
    <w:rsid w:val="00E64FB0"/>
    <w:rsid w:val="00E73269"/>
    <w:rsid w:val="00E73A5C"/>
    <w:rsid w:val="00E858AC"/>
    <w:rsid w:val="00E91B11"/>
    <w:rsid w:val="00EA1D11"/>
    <w:rsid w:val="00EA3A60"/>
    <w:rsid w:val="00EB04D2"/>
    <w:rsid w:val="00EC4422"/>
    <w:rsid w:val="00EC4917"/>
    <w:rsid w:val="00EC5B48"/>
    <w:rsid w:val="00ED0663"/>
    <w:rsid w:val="00EF3790"/>
    <w:rsid w:val="00F00B82"/>
    <w:rsid w:val="00F141C9"/>
    <w:rsid w:val="00F14478"/>
    <w:rsid w:val="00F16D5F"/>
    <w:rsid w:val="00F33DA8"/>
    <w:rsid w:val="00F34ACF"/>
    <w:rsid w:val="00F34C30"/>
    <w:rsid w:val="00F40070"/>
    <w:rsid w:val="00F474CB"/>
    <w:rsid w:val="00F47572"/>
    <w:rsid w:val="00F47CBB"/>
    <w:rsid w:val="00F67092"/>
    <w:rsid w:val="00F90B43"/>
    <w:rsid w:val="00FB343A"/>
    <w:rsid w:val="00FB72C4"/>
    <w:rsid w:val="00FC1258"/>
    <w:rsid w:val="00FE4903"/>
    <w:rsid w:val="00FE6465"/>
    <w:rsid w:val="7C55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semiHidden/>
    <w:unhideWhenUsed/>
    <w:uiPriority w:val="99"/>
    <w:pPr>
      <w:jc w:val="left"/>
    </w:pPr>
  </w:style>
  <w:style w:type="paragraph" w:styleId="3">
    <w:name w:val="Body Text Indent"/>
    <w:basedOn w:val="1"/>
    <w:uiPriority w:val="0"/>
    <w:pPr>
      <w:ind w:left="363" w:hanging="363" w:hangingChars="173"/>
    </w:pPr>
    <w:rPr>
      <w:rFonts w:ascii="Times New Roman" w:hAnsi="Times New Roman"/>
      <w:szCs w:val="24"/>
    </w:rPr>
  </w:style>
  <w:style w:type="paragraph" w:styleId="4">
    <w:name w:val="Balloon Text"/>
    <w:basedOn w:val="1"/>
    <w:link w:val="22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6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ˎ̥" w:hAnsi="ˎ̥" w:cs="宋体"/>
      <w:kern w:val="0"/>
      <w:sz w:val="24"/>
      <w:szCs w:val="24"/>
    </w:rPr>
  </w:style>
  <w:style w:type="paragraph" w:styleId="8">
    <w:name w:val="annotation subject"/>
    <w:basedOn w:val="2"/>
    <w:next w:val="2"/>
    <w:link w:val="24"/>
    <w:semiHidden/>
    <w:unhideWhenUsed/>
    <w:uiPriority w:val="99"/>
    <w:rPr>
      <w:b/>
      <w:bCs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uiPriority w:val="0"/>
    <w:rPr>
      <w:color w:val="0000FF"/>
      <w:u w:val="single"/>
    </w:rPr>
  </w:style>
  <w:style w:type="character" w:styleId="13">
    <w:name w:val="annotation reference"/>
    <w:semiHidden/>
    <w:unhideWhenUsed/>
    <w:qFormat/>
    <w:uiPriority w:val="99"/>
    <w:rPr>
      <w:sz w:val="21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link w:val="6"/>
    <w:qFormat/>
    <w:uiPriority w:val="99"/>
    <w:rPr>
      <w:sz w:val="18"/>
      <w:szCs w:val="18"/>
    </w:rPr>
  </w:style>
  <w:style w:type="character" w:customStyle="1" w:styleId="16">
    <w:name w:val="页脚 字符"/>
    <w:link w:val="5"/>
    <w:uiPriority w:val="99"/>
    <w:rPr>
      <w:sz w:val="18"/>
      <w:szCs w:val="18"/>
    </w:rPr>
  </w:style>
  <w:style w:type="paragraph" w:customStyle="1" w:styleId="17">
    <w:name w:val="dash6b63-6587"/>
    <w:basedOn w:val="1"/>
    <w:uiPriority w:val="0"/>
    <w:pPr>
      <w:widowControl/>
      <w:spacing w:before="100" w:beforeAutospacing="1" w:after="100" w:afterAutospacing="1"/>
      <w:jc w:val="left"/>
    </w:pPr>
    <w:rPr>
      <w:rFonts w:ascii="ˎ̥" w:hAnsi="ˎ̥" w:cs="宋体"/>
      <w:kern w:val="0"/>
      <w:sz w:val="24"/>
      <w:szCs w:val="24"/>
    </w:rPr>
  </w:style>
  <w:style w:type="character" w:customStyle="1" w:styleId="18">
    <w:name w:val="dash6b63-6587--char"/>
    <w:basedOn w:val="11"/>
    <w:qFormat/>
    <w:uiPriority w:val="0"/>
  </w:style>
  <w:style w:type="paragraph" w:customStyle="1" w:styleId="19">
    <w:name w:val="style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9900FF"/>
      <w:kern w:val="0"/>
      <w:sz w:val="24"/>
      <w:szCs w:val="24"/>
    </w:rPr>
  </w:style>
  <w:style w:type="paragraph" w:styleId="20">
    <w:name w:val="No Spacing"/>
    <w:link w:val="21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21">
    <w:name w:val="无间隔 字符"/>
    <w:link w:val="20"/>
    <w:qFormat/>
    <w:uiPriority w:val="1"/>
    <w:rPr>
      <w:sz w:val="22"/>
      <w:szCs w:val="22"/>
      <w:lang w:val="en-US" w:eastAsia="zh-CN" w:bidi="ar-SA"/>
    </w:rPr>
  </w:style>
  <w:style w:type="character" w:customStyle="1" w:styleId="22">
    <w:name w:val="批注框文本 字符"/>
    <w:link w:val="4"/>
    <w:semiHidden/>
    <w:uiPriority w:val="99"/>
    <w:rPr>
      <w:kern w:val="2"/>
      <w:sz w:val="18"/>
      <w:szCs w:val="18"/>
    </w:rPr>
  </w:style>
  <w:style w:type="character" w:customStyle="1" w:styleId="23">
    <w:name w:val="批注文字 字符"/>
    <w:link w:val="2"/>
    <w:semiHidden/>
    <w:uiPriority w:val="99"/>
    <w:rPr>
      <w:kern w:val="2"/>
      <w:sz w:val="21"/>
      <w:szCs w:val="22"/>
    </w:rPr>
  </w:style>
  <w:style w:type="character" w:customStyle="1" w:styleId="24">
    <w:name w:val="批注主题 字符"/>
    <w:link w:val="8"/>
    <w:semiHidden/>
    <w:uiPriority w:val="99"/>
    <w:rPr>
      <w:b/>
      <w:bCs/>
      <w:kern w:val="2"/>
      <w:sz w:val="21"/>
      <w:szCs w:val="22"/>
    </w:rPr>
  </w:style>
  <w:style w:type="paragraph" w:customStyle="1" w:styleId="25">
    <w:name w:val="列出段落1"/>
    <w:basedOn w:val="1"/>
    <w:qFormat/>
    <w:uiPriority w:val="0"/>
    <w:pPr>
      <w:ind w:firstLine="420" w:firstLineChars="200"/>
    </w:pPr>
    <w:rPr>
      <w:rFonts w:cs="Calibri"/>
      <w:szCs w:val="21"/>
    </w:rPr>
  </w:style>
  <w:style w:type="paragraph" w:customStyle="1" w:styleId="26">
    <w:name w:val="p0"/>
    <w:basedOn w:val="1"/>
    <w:uiPriority w:val="99"/>
    <w:pPr>
      <w:widowControl/>
    </w:pPr>
    <w:rPr>
      <w:rFonts w:ascii="Times New Roman" w:hAnsi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8744D-A049-48A7-9CF8-F43339EE71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5845</Words>
  <Characters>5989</Characters>
  <Lines>44</Lines>
  <Paragraphs>12</Paragraphs>
  <TotalTime>1</TotalTime>
  <ScaleCrop>false</ScaleCrop>
  <LinksUpToDate>false</LinksUpToDate>
  <CharactersWithSpaces>6034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2022-10-05T09:00:00Z</dcterms:created>
  <dc:creator>微软用户</dc:creator>
  <cp:lastModifiedBy>Administrator</cp:lastModifiedBy>
  <cp:lastPrinted>2013-11-05T02:02:00Z</cp:lastPrinted>
  <dcterms:modified xsi:type="dcterms:W3CDTF">2024-06-26T00:54:08Z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A4540A67648D401DA8A4FE26C5A11E36_12</vt:lpwstr>
  </property>
</Properties>
</file>